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B5" w:rsidRPr="00E65E15" w:rsidRDefault="00F341B5" w:rsidP="00F341B5">
      <w:pPr>
        <w:pBdr>
          <w:top w:val="single" w:sz="4" w:space="1" w:color="auto"/>
          <w:bottom w:val="single" w:sz="4" w:space="1" w:color="auto"/>
        </w:pBdr>
        <w:spacing w:line="360" w:lineRule="auto"/>
        <w:jc w:val="center"/>
        <w:rPr>
          <w:rFonts w:eastAsia="Times New Roman"/>
          <w:b/>
          <w:sz w:val="28"/>
          <w:szCs w:val="28"/>
        </w:rPr>
      </w:pPr>
      <w:r w:rsidRPr="00E65E15">
        <w:rPr>
          <w:rFonts w:eastAsia="Times New Roman"/>
          <w:b/>
          <w:sz w:val="28"/>
          <w:szCs w:val="28"/>
        </w:rPr>
        <w:t>MERCHANT SHIPPING NOTICE</w:t>
      </w:r>
    </w:p>
    <w:p w:rsidR="00F341B5" w:rsidRPr="00E65E15" w:rsidRDefault="00F341B5" w:rsidP="00F341B5">
      <w:pPr>
        <w:pStyle w:val="Heading2"/>
      </w:pPr>
      <w:r w:rsidRPr="00E65E15">
        <w:t xml:space="preserve">MSN 2219    </w:t>
      </w:r>
    </w:p>
    <w:p w:rsidR="00F341B5" w:rsidRPr="00E65E15" w:rsidRDefault="00F341B5" w:rsidP="00F341B5">
      <w:pPr>
        <w:pStyle w:val="Heading3"/>
        <w:rPr>
          <w:rFonts w:ascii="Times New Roman" w:hAnsi="Times New Roman"/>
          <w:sz w:val="28"/>
          <w:szCs w:val="28"/>
        </w:rPr>
      </w:pPr>
      <w:r w:rsidRPr="00E65E15">
        <w:rPr>
          <w:rFonts w:ascii="Times New Roman" w:hAnsi="Times New Roman"/>
          <w:sz w:val="28"/>
          <w:szCs w:val="28"/>
        </w:rPr>
        <w:t xml:space="preserve">Amendment </w:t>
      </w:r>
      <w:r>
        <w:rPr>
          <w:rFonts w:ascii="Times New Roman" w:hAnsi="Times New Roman"/>
          <w:sz w:val="28"/>
          <w:szCs w:val="28"/>
        </w:rPr>
        <w:t>2</w:t>
      </w:r>
      <w:r w:rsidRPr="00E65E15">
        <w:rPr>
          <w:rFonts w:ascii="Times New Roman" w:hAnsi="Times New Roman"/>
          <w:sz w:val="28"/>
          <w:szCs w:val="28"/>
        </w:rPr>
        <w:t>/202</w:t>
      </w:r>
      <w:r>
        <w:rPr>
          <w:rFonts w:ascii="Times New Roman" w:hAnsi="Times New Roman"/>
          <w:sz w:val="28"/>
          <w:szCs w:val="28"/>
        </w:rPr>
        <w:t>2</w:t>
      </w:r>
    </w:p>
    <w:p w:rsidR="00F341B5" w:rsidRPr="00E65E15" w:rsidRDefault="00F341B5" w:rsidP="00F341B5">
      <w:pPr>
        <w:pStyle w:val="BodyText"/>
        <w:spacing w:line="276" w:lineRule="auto"/>
        <w:jc w:val="center"/>
      </w:pPr>
      <w:r w:rsidRPr="00E65E15">
        <w:t>INTRODUCTION OF THE TANZANIA SHIPPING AGENCIES CORPORATION (TASAC) AS A NEW MARITIME ADMINISTRATION FOR TANZANIA</w:t>
      </w:r>
    </w:p>
    <w:p w:rsidR="00F341B5" w:rsidRPr="00E65E15" w:rsidRDefault="00F341B5" w:rsidP="00F341B5">
      <w:pPr>
        <w:pBdr>
          <w:top w:val="single" w:sz="4" w:space="1" w:color="auto"/>
          <w:bottom w:val="single" w:sz="4" w:space="1" w:color="auto"/>
        </w:pBdr>
        <w:spacing w:line="360" w:lineRule="auto"/>
        <w:jc w:val="both"/>
        <w:rPr>
          <w:rFonts w:eastAsia="Times New Roman"/>
          <w:b/>
          <w:sz w:val="28"/>
          <w:szCs w:val="28"/>
        </w:rPr>
      </w:pPr>
    </w:p>
    <w:p w:rsidR="00F341B5" w:rsidRPr="002A43CE" w:rsidRDefault="00F341B5" w:rsidP="00F341B5">
      <w:pPr>
        <w:pStyle w:val="BodyText2"/>
      </w:pPr>
      <w:r w:rsidRPr="00E65E15">
        <w:t>This notice is hereby issued to all Shipowners, Masters, Seafarer Recruitment and Placement Services, Maritime Training Institutions, Maritime Administrations, Tanzania Seafarers Union, Tanzania Seafarers Community, Marchant Marine Officers Association of Tanzania, Tanzania Ports Authority, Shipping Agencies, Ship Tallying, Clearing and Foreordering Agents and Approved Medical Practitioners.</w:t>
      </w:r>
    </w:p>
    <w:p w:rsidR="00F341B5" w:rsidRPr="00E65E15" w:rsidRDefault="00F341B5" w:rsidP="00F341B5">
      <w:pPr>
        <w:spacing w:line="360" w:lineRule="auto"/>
        <w:jc w:val="both"/>
        <w:rPr>
          <w:rFonts w:eastAsia="Times New Roman"/>
          <w:b/>
          <w:sz w:val="28"/>
          <w:szCs w:val="28"/>
        </w:rPr>
      </w:pPr>
    </w:p>
    <w:p w:rsidR="00F341B5" w:rsidRPr="00E65E15" w:rsidRDefault="00F341B5" w:rsidP="00F341B5">
      <w:pPr>
        <w:numPr>
          <w:ilvl w:val="0"/>
          <w:numId w:val="13"/>
        </w:numPr>
        <w:spacing w:line="360" w:lineRule="auto"/>
        <w:jc w:val="both"/>
        <w:rPr>
          <w:rFonts w:eastAsia="Times New Roman"/>
          <w:b/>
          <w:sz w:val="28"/>
          <w:szCs w:val="28"/>
        </w:rPr>
      </w:pPr>
      <w:r w:rsidRPr="00E65E15">
        <w:rPr>
          <w:rFonts w:eastAsia="Times New Roman"/>
          <w:b/>
          <w:sz w:val="28"/>
          <w:szCs w:val="28"/>
        </w:rPr>
        <w:t>Introduction</w:t>
      </w:r>
    </w:p>
    <w:p w:rsidR="00F341B5" w:rsidRPr="00E65E15" w:rsidRDefault="00F341B5" w:rsidP="00F341B5">
      <w:pPr>
        <w:autoSpaceDE w:val="0"/>
        <w:autoSpaceDN w:val="0"/>
        <w:adjustRightInd w:val="0"/>
        <w:jc w:val="both"/>
        <w:rPr>
          <w:color w:val="000000"/>
          <w:sz w:val="28"/>
          <w:szCs w:val="28"/>
        </w:rPr>
      </w:pPr>
      <w:r w:rsidRPr="00E65E15">
        <w:rPr>
          <w:color w:val="000000"/>
          <w:sz w:val="28"/>
          <w:szCs w:val="28"/>
        </w:rPr>
        <w:t>The United Republic of Tanzania (URT) is a maritime State and signatory to the International Maritime Organization (IMO) Convention.</w:t>
      </w:r>
    </w:p>
    <w:p w:rsidR="00F341B5" w:rsidRPr="00E65E15" w:rsidRDefault="00F341B5" w:rsidP="00F341B5">
      <w:pPr>
        <w:autoSpaceDE w:val="0"/>
        <w:autoSpaceDN w:val="0"/>
        <w:adjustRightInd w:val="0"/>
        <w:jc w:val="both"/>
        <w:rPr>
          <w:color w:val="000000"/>
          <w:sz w:val="28"/>
          <w:szCs w:val="28"/>
        </w:rPr>
      </w:pPr>
      <w:r w:rsidRPr="00E65E15">
        <w:rPr>
          <w:color w:val="000000"/>
          <w:sz w:val="28"/>
          <w:szCs w:val="28"/>
        </w:rPr>
        <w:t xml:space="preserve">The Tanzania Shipping Agencies Corporation was established the Tanzania Shipping Agencies Corporation Act No.14 of 2017, </w:t>
      </w:r>
      <w:proofErr w:type="spellStart"/>
      <w:r w:rsidRPr="00E65E15">
        <w:rPr>
          <w:color w:val="000000"/>
          <w:sz w:val="28"/>
          <w:szCs w:val="28"/>
        </w:rPr>
        <w:t>gazetted</w:t>
      </w:r>
      <w:proofErr w:type="spellEnd"/>
      <w:r w:rsidRPr="00E65E15">
        <w:rPr>
          <w:color w:val="000000"/>
          <w:sz w:val="28"/>
          <w:szCs w:val="28"/>
        </w:rPr>
        <w:t xml:space="preserve"> by GN 53 of 16 February 2018 and commenced its operation on 23 February 2018, to replace the former URT body responsible for maritime administration known as the Surface and Marine Regulatory Authority (SUMATRA).</w:t>
      </w:r>
    </w:p>
    <w:p w:rsidR="00F341B5" w:rsidRPr="000A7500" w:rsidRDefault="00F341B5" w:rsidP="00F341B5">
      <w:pPr>
        <w:autoSpaceDE w:val="0"/>
        <w:autoSpaceDN w:val="0"/>
        <w:adjustRightInd w:val="0"/>
        <w:ind w:right="-472"/>
        <w:jc w:val="both"/>
        <w:rPr>
          <w:color w:val="000000"/>
          <w:sz w:val="28"/>
          <w:szCs w:val="28"/>
        </w:rPr>
      </w:pPr>
      <w:r w:rsidRPr="00E65E15">
        <w:rPr>
          <w:color w:val="000000"/>
          <w:sz w:val="28"/>
          <w:szCs w:val="28"/>
        </w:rPr>
        <w:t>The Act No.14 of 2017 has made provisions for the implementation of the Maritime Administration functions particularly to regulate ports, shipping services, maritime safety, security and marine environment, and other maritime related matters.</w:t>
      </w:r>
    </w:p>
    <w:p w:rsidR="00F341B5" w:rsidRPr="00E65E15" w:rsidRDefault="00F341B5" w:rsidP="00F341B5">
      <w:pPr>
        <w:numPr>
          <w:ilvl w:val="0"/>
          <w:numId w:val="13"/>
        </w:numPr>
        <w:spacing w:line="360" w:lineRule="auto"/>
        <w:jc w:val="both"/>
        <w:rPr>
          <w:rFonts w:eastAsia="Times New Roman"/>
          <w:b/>
          <w:sz w:val="28"/>
          <w:szCs w:val="28"/>
        </w:rPr>
      </w:pPr>
      <w:r w:rsidRPr="00E65E15">
        <w:rPr>
          <w:rFonts w:eastAsia="Times New Roman"/>
          <w:b/>
          <w:sz w:val="28"/>
          <w:szCs w:val="28"/>
        </w:rPr>
        <w:t>Regulation of Maritime Sector</w:t>
      </w:r>
    </w:p>
    <w:p w:rsidR="00F341B5" w:rsidRDefault="00F341B5" w:rsidP="00F341B5">
      <w:pPr>
        <w:spacing w:line="360" w:lineRule="auto"/>
        <w:jc w:val="both"/>
        <w:rPr>
          <w:rFonts w:eastAsia="Times New Roman"/>
          <w:sz w:val="28"/>
          <w:szCs w:val="28"/>
        </w:rPr>
      </w:pPr>
      <w:r w:rsidRPr="00E65E15">
        <w:rPr>
          <w:rFonts w:eastAsia="Times New Roman"/>
          <w:sz w:val="28"/>
          <w:szCs w:val="28"/>
        </w:rPr>
        <w:t>The provisions of Section 11(1) under Part III of the Act No.14of 2017 stipulates that the Corporation shall regulate maritime transport services, marine environment, and safety and security matters.</w:t>
      </w:r>
    </w:p>
    <w:p w:rsidR="00F341B5" w:rsidRPr="00E65E15" w:rsidRDefault="00F341B5" w:rsidP="00F341B5">
      <w:pPr>
        <w:spacing w:line="360" w:lineRule="auto"/>
        <w:jc w:val="both"/>
        <w:rPr>
          <w:rFonts w:eastAsia="Times New Roman"/>
          <w:sz w:val="28"/>
          <w:szCs w:val="28"/>
        </w:rPr>
      </w:pPr>
    </w:p>
    <w:p w:rsidR="00F341B5" w:rsidRPr="00E65E15" w:rsidRDefault="00F341B5" w:rsidP="00F341B5">
      <w:pPr>
        <w:spacing w:line="360" w:lineRule="auto"/>
        <w:jc w:val="both"/>
        <w:rPr>
          <w:rFonts w:eastAsia="Times New Roman"/>
          <w:sz w:val="28"/>
          <w:szCs w:val="28"/>
        </w:rPr>
      </w:pPr>
      <w:r w:rsidRPr="00E65E15">
        <w:rPr>
          <w:rFonts w:eastAsia="Times New Roman"/>
          <w:sz w:val="28"/>
          <w:szCs w:val="28"/>
        </w:rPr>
        <w:lastRenderedPageBreak/>
        <w:t xml:space="preserve">The Act further provide that it shall be the underlying objective of the Corporation in carrying out its functions and exercising its powers </w:t>
      </w:r>
      <w:r w:rsidR="000C4286" w:rsidRPr="00E65E15">
        <w:rPr>
          <w:rFonts w:eastAsia="Times New Roman"/>
          <w:sz w:val="28"/>
          <w:szCs w:val="28"/>
        </w:rPr>
        <w:t>provided under</w:t>
      </w:r>
      <w:r w:rsidRPr="00E65E15">
        <w:rPr>
          <w:rFonts w:eastAsia="Times New Roman"/>
          <w:sz w:val="28"/>
          <w:szCs w:val="28"/>
        </w:rPr>
        <w:t xml:space="preserve"> the Act, to enhance the benefits of maritime transport </w:t>
      </w:r>
      <w:r w:rsidR="000C4286" w:rsidRPr="00E65E15">
        <w:rPr>
          <w:rFonts w:eastAsia="Times New Roman"/>
          <w:sz w:val="28"/>
          <w:szCs w:val="28"/>
        </w:rPr>
        <w:t>by; promoting</w:t>
      </w:r>
      <w:r w:rsidRPr="00E65E15">
        <w:rPr>
          <w:rFonts w:eastAsia="Times New Roman"/>
          <w:sz w:val="28"/>
          <w:szCs w:val="28"/>
        </w:rPr>
        <w:t xml:space="preserve"> and maintaining maritime safety, security and marine environment.</w:t>
      </w:r>
    </w:p>
    <w:p w:rsidR="00F341B5" w:rsidRPr="00E65E15" w:rsidRDefault="00F341B5" w:rsidP="00F341B5">
      <w:pPr>
        <w:pStyle w:val="ListParagraph"/>
        <w:numPr>
          <w:ilvl w:val="0"/>
          <w:numId w:val="13"/>
        </w:numPr>
        <w:spacing w:after="0" w:line="360" w:lineRule="auto"/>
        <w:jc w:val="both"/>
        <w:rPr>
          <w:rFonts w:ascii="Times New Roman" w:eastAsia="Times New Roman" w:hAnsi="Times New Roman" w:cs="Times New Roman"/>
          <w:b/>
          <w:sz w:val="28"/>
          <w:szCs w:val="28"/>
          <w:lang w:val="en-US"/>
        </w:rPr>
      </w:pPr>
      <w:r w:rsidRPr="00E65E15">
        <w:rPr>
          <w:rFonts w:ascii="Times New Roman" w:eastAsia="Times New Roman" w:hAnsi="Times New Roman" w:cs="Times New Roman"/>
          <w:b/>
          <w:sz w:val="28"/>
          <w:szCs w:val="28"/>
          <w:lang w:val="en-US"/>
        </w:rPr>
        <w:t>Functions of the Corporation:</w:t>
      </w:r>
    </w:p>
    <w:p w:rsidR="00F341B5" w:rsidRPr="00E65E15" w:rsidRDefault="00F341B5" w:rsidP="00F341B5">
      <w:pPr>
        <w:pStyle w:val="NoSpacing"/>
        <w:jc w:val="both"/>
        <w:rPr>
          <w:sz w:val="28"/>
          <w:szCs w:val="28"/>
        </w:rPr>
      </w:pPr>
      <w:r w:rsidRPr="00E65E15">
        <w:rPr>
          <w:sz w:val="28"/>
          <w:szCs w:val="28"/>
        </w:rPr>
        <w:t xml:space="preserve">The functions of the Corporation are as provided under the provisions of section six of the Act: </w:t>
      </w:r>
    </w:p>
    <w:p w:rsidR="00F341B5" w:rsidRPr="00E65E15" w:rsidRDefault="00F341B5" w:rsidP="00F341B5">
      <w:pPr>
        <w:pStyle w:val="NoSpacing"/>
        <w:jc w:val="both"/>
        <w:rPr>
          <w:sz w:val="28"/>
          <w:szCs w:val="28"/>
        </w:rPr>
      </w:pPr>
    </w:p>
    <w:p w:rsidR="00F341B5" w:rsidRPr="00E65E15" w:rsidRDefault="00F341B5" w:rsidP="00F341B5">
      <w:pPr>
        <w:pStyle w:val="NoSpacing"/>
        <w:ind w:left="720"/>
        <w:jc w:val="both"/>
        <w:rPr>
          <w:sz w:val="28"/>
          <w:szCs w:val="28"/>
        </w:rPr>
      </w:pPr>
      <w:r w:rsidRPr="00E65E15">
        <w:rPr>
          <w:sz w:val="28"/>
          <w:szCs w:val="28"/>
        </w:rPr>
        <w:t>(1) In relation to regulation of maritime administration, marine environment, safety and security as provided under section six of the Act, the functions are as follows:</w:t>
      </w:r>
    </w:p>
    <w:p w:rsidR="00F341B5" w:rsidRPr="00E65E15" w:rsidRDefault="00F341B5" w:rsidP="00F341B5">
      <w:pPr>
        <w:spacing w:line="360" w:lineRule="auto"/>
        <w:ind w:left="1440"/>
        <w:jc w:val="both"/>
        <w:rPr>
          <w:rFonts w:eastAsia="Times New Roman"/>
          <w:sz w:val="28"/>
          <w:szCs w:val="28"/>
        </w:rPr>
      </w:pPr>
      <w:r w:rsidRPr="00E65E15">
        <w:rPr>
          <w:rFonts w:eastAsia="Times New Roman"/>
          <w:sz w:val="28"/>
          <w:szCs w:val="28"/>
        </w:rPr>
        <w:t>(a)</w:t>
      </w:r>
      <w:r w:rsidRPr="00E65E15">
        <w:rPr>
          <w:rFonts w:eastAsia="Times New Roman"/>
          <w:b/>
          <w:sz w:val="28"/>
          <w:szCs w:val="28"/>
        </w:rPr>
        <w:tab/>
      </w:r>
      <w:r w:rsidRPr="00E65E15">
        <w:rPr>
          <w:rFonts w:eastAsia="Times New Roman"/>
          <w:sz w:val="28"/>
          <w:szCs w:val="28"/>
        </w:rPr>
        <w:t>administer the Merchant Shipping Act;</w:t>
      </w:r>
    </w:p>
    <w:p w:rsidR="00F341B5" w:rsidRPr="00E65E15" w:rsidRDefault="00F341B5" w:rsidP="00F341B5">
      <w:pPr>
        <w:spacing w:line="360" w:lineRule="auto"/>
        <w:ind w:left="2160" w:hanging="720"/>
        <w:jc w:val="both"/>
        <w:rPr>
          <w:rFonts w:eastAsia="Times New Roman"/>
          <w:sz w:val="28"/>
          <w:szCs w:val="28"/>
        </w:rPr>
      </w:pPr>
      <w:r w:rsidRPr="00E65E15">
        <w:rPr>
          <w:rFonts w:eastAsia="Times New Roman"/>
          <w:sz w:val="28"/>
          <w:szCs w:val="28"/>
        </w:rPr>
        <w:t>(b)</w:t>
      </w:r>
      <w:r w:rsidRPr="00E65E15">
        <w:rPr>
          <w:rFonts w:eastAsia="Times New Roman"/>
          <w:sz w:val="28"/>
          <w:szCs w:val="28"/>
        </w:rPr>
        <w:tab/>
        <w:t>exercise port state control of all foreign ships and flag state control   of ships registered in Mainland Tanzania;</w:t>
      </w:r>
    </w:p>
    <w:p w:rsidR="00F341B5" w:rsidRPr="00E65E15" w:rsidRDefault="00F341B5" w:rsidP="00F341B5">
      <w:pPr>
        <w:spacing w:line="360" w:lineRule="auto"/>
        <w:ind w:left="2160" w:hanging="720"/>
        <w:jc w:val="both"/>
        <w:rPr>
          <w:rFonts w:eastAsia="Times New Roman"/>
          <w:sz w:val="28"/>
          <w:szCs w:val="28"/>
        </w:rPr>
      </w:pPr>
      <w:r w:rsidRPr="00E65E15">
        <w:rPr>
          <w:rFonts w:eastAsia="Times New Roman"/>
          <w:sz w:val="28"/>
          <w:szCs w:val="28"/>
        </w:rPr>
        <w:t>(c)</w:t>
      </w:r>
      <w:r w:rsidRPr="00E65E15">
        <w:rPr>
          <w:rFonts w:eastAsia="Times New Roman"/>
          <w:sz w:val="28"/>
          <w:szCs w:val="28"/>
        </w:rPr>
        <w:tab/>
        <w:t>regulate and approve marine services safety equipment’s and marine services providers;</w:t>
      </w:r>
    </w:p>
    <w:p w:rsidR="00F341B5" w:rsidRPr="00E65E15" w:rsidRDefault="00F341B5" w:rsidP="00F341B5">
      <w:pPr>
        <w:spacing w:line="360" w:lineRule="auto"/>
        <w:ind w:left="1440"/>
        <w:jc w:val="both"/>
        <w:rPr>
          <w:rFonts w:eastAsia="Times New Roman"/>
          <w:sz w:val="28"/>
          <w:szCs w:val="28"/>
        </w:rPr>
      </w:pPr>
      <w:r w:rsidRPr="00E65E15">
        <w:rPr>
          <w:rFonts w:eastAsia="Times New Roman"/>
          <w:sz w:val="28"/>
          <w:szCs w:val="28"/>
        </w:rPr>
        <w:t>(d)</w:t>
      </w:r>
      <w:r w:rsidRPr="00E65E15">
        <w:rPr>
          <w:rFonts w:eastAsia="Times New Roman"/>
          <w:sz w:val="28"/>
          <w:szCs w:val="28"/>
        </w:rPr>
        <w:tab/>
        <w:t>regulate ferries;</w:t>
      </w:r>
    </w:p>
    <w:p w:rsidR="00F341B5" w:rsidRPr="00E65E15" w:rsidRDefault="00F341B5" w:rsidP="00F341B5">
      <w:pPr>
        <w:spacing w:line="360" w:lineRule="auto"/>
        <w:ind w:left="1440"/>
        <w:jc w:val="both"/>
        <w:rPr>
          <w:rFonts w:eastAsia="Times New Roman"/>
          <w:sz w:val="28"/>
          <w:szCs w:val="28"/>
        </w:rPr>
      </w:pPr>
      <w:r w:rsidRPr="00E65E15">
        <w:rPr>
          <w:rFonts w:eastAsia="Times New Roman"/>
          <w:sz w:val="28"/>
          <w:szCs w:val="28"/>
        </w:rPr>
        <w:t>(e)</w:t>
      </w:r>
      <w:r w:rsidRPr="00E65E15">
        <w:rPr>
          <w:rFonts w:eastAsia="Times New Roman"/>
          <w:sz w:val="28"/>
          <w:szCs w:val="28"/>
        </w:rPr>
        <w:tab/>
        <w:t>coordinate maritime search and rescue operations;</w:t>
      </w:r>
    </w:p>
    <w:p w:rsidR="00F341B5" w:rsidRPr="00E65E15" w:rsidRDefault="00F341B5" w:rsidP="00F341B5">
      <w:pPr>
        <w:spacing w:line="360" w:lineRule="auto"/>
        <w:ind w:left="2160" w:hanging="720"/>
        <w:jc w:val="both"/>
        <w:rPr>
          <w:rFonts w:eastAsia="Times New Roman"/>
          <w:sz w:val="28"/>
          <w:szCs w:val="28"/>
        </w:rPr>
      </w:pPr>
      <w:r w:rsidRPr="00E65E15">
        <w:rPr>
          <w:rFonts w:eastAsia="Times New Roman"/>
          <w:sz w:val="28"/>
          <w:szCs w:val="28"/>
        </w:rPr>
        <w:t>(f)</w:t>
      </w:r>
      <w:r w:rsidRPr="00E65E15">
        <w:rPr>
          <w:rFonts w:eastAsia="Times New Roman"/>
          <w:sz w:val="28"/>
          <w:szCs w:val="28"/>
        </w:rPr>
        <w:tab/>
        <w:t xml:space="preserve">regulate and coordinate the protection and preservation of marine environment; </w:t>
      </w:r>
    </w:p>
    <w:p w:rsidR="00F341B5" w:rsidRPr="00E65E15" w:rsidRDefault="00F341B5" w:rsidP="00F341B5">
      <w:pPr>
        <w:spacing w:line="360" w:lineRule="auto"/>
        <w:ind w:left="2160" w:hanging="720"/>
        <w:jc w:val="both"/>
        <w:rPr>
          <w:rFonts w:eastAsia="Times New Roman"/>
          <w:sz w:val="28"/>
          <w:szCs w:val="28"/>
        </w:rPr>
      </w:pPr>
      <w:r w:rsidRPr="00E65E15">
        <w:rPr>
          <w:rFonts w:eastAsia="Times New Roman"/>
          <w:sz w:val="28"/>
          <w:szCs w:val="28"/>
        </w:rPr>
        <w:t>(g)</w:t>
      </w:r>
      <w:r w:rsidRPr="00E65E15">
        <w:rPr>
          <w:rFonts w:eastAsia="Times New Roman"/>
          <w:sz w:val="28"/>
          <w:szCs w:val="28"/>
        </w:rPr>
        <w:tab/>
        <w:t>disseminate information and create awareness on matters related to maritime environment, safety and security; and</w:t>
      </w:r>
    </w:p>
    <w:p w:rsidR="00F341B5" w:rsidRPr="00E65E15" w:rsidRDefault="00F341B5" w:rsidP="00F341B5">
      <w:pPr>
        <w:spacing w:line="360" w:lineRule="auto"/>
        <w:ind w:left="2160" w:hanging="720"/>
        <w:jc w:val="both"/>
        <w:rPr>
          <w:rFonts w:eastAsia="Times New Roman"/>
          <w:sz w:val="28"/>
          <w:szCs w:val="28"/>
        </w:rPr>
      </w:pPr>
      <w:r w:rsidRPr="00E65E15">
        <w:rPr>
          <w:rFonts w:eastAsia="Times New Roman"/>
          <w:sz w:val="28"/>
          <w:szCs w:val="28"/>
        </w:rPr>
        <w:t>(h)</w:t>
      </w:r>
      <w:r w:rsidRPr="00E65E15">
        <w:rPr>
          <w:rFonts w:eastAsia="Times New Roman"/>
          <w:sz w:val="28"/>
          <w:szCs w:val="28"/>
        </w:rPr>
        <w:tab/>
        <w:t>perform such other functions as may be conferred on the Corporation by this Act or any other written laws.</w:t>
      </w:r>
    </w:p>
    <w:p w:rsidR="00F341B5" w:rsidRPr="00E65E15" w:rsidRDefault="00F341B5" w:rsidP="00F341B5">
      <w:pPr>
        <w:spacing w:line="360" w:lineRule="auto"/>
        <w:ind w:left="720"/>
        <w:jc w:val="both"/>
        <w:rPr>
          <w:rFonts w:eastAsia="Times New Roman"/>
          <w:sz w:val="28"/>
          <w:szCs w:val="28"/>
        </w:rPr>
      </w:pPr>
    </w:p>
    <w:p w:rsidR="00F341B5" w:rsidRDefault="00F341B5" w:rsidP="00F341B5">
      <w:pPr>
        <w:pStyle w:val="BodyTextIndent"/>
      </w:pPr>
      <w:r w:rsidRPr="00E65E15">
        <w:t>(2) In addition to the functions specified under this section, the Corporation may undertake such other functions as the Minister may assign to it.</w:t>
      </w:r>
    </w:p>
    <w:p w:rsidR="00F341B5" w:rsidRDefault="00F341B5" w:rsidP="00F341B5">
      <w:pPr>
        <w:pStyle w:val="BodyTextIndent"/>
      </w:pPr>
    </w:p>
    <w:p w:rsidR="00F341B5" w:rsidRPr="00E65E15" w:rsidRDefault="00F341B5" w:rsidP="00F341B5">
      <w:pPr>
        <w:pStyle w:val="BodyTextIndent"/>
      </w:pPr>
    </w:p>
    <w:p w:rsidR="00F341B5" w:rsidRPr="00E65E15" w:rsidRDefault="00F341B5" w:rsidP="00F341B5">
      <w:pPr>
        <w:spacing w:line="360" w:lineRule="auto"/>
        <w:ind w:left="720"/>
        <w:jc w:val="both"/>
        <w:rPr>
          <w:rFonts w:eastAsia="Times New Roman"/>
          <w:sz w:val="28"/>
          <w:szCs w:val="28"/>
        </w:rPr>
      </w:pPr>
    </w:p>
    <w:p w:rsidR="00F341B5" w:rsidRPr="00E65E15" w:rsidRDefault="00F341B5" w:rsidP="00F341B5">
      <w:pPr>
        <w:pStyle w:val="ListParagraph"/>
        <w:numPr>
          <w:ilvl w:val="0"/>
          <w:numId w:val="13"/>
        </w:numPr>
        <w:jc w:val="both"/>
        <w:rPr>
          <w:rFonts w:ascii="Times New Roman" w:eastAsia="Times New Roman" w:hAnsi="Times New Roman" w:cs="Times New Roman"/>
          <w:b/>
          <w:sz w:val="28"/>
          <w:szCs w:val="28"/>
          <w:lang w:val="en-US"/>
        </w:rPr>
      </w:pPr>
      <w:r w:rsidRPr="00E65E15">
        <w:rPr>
          <w:rFonts w:ascii="Times New Roman" w:eastAsia="Times New Roman" w:hAnsi="Times New Roman" w:cs="Times New Roman"/>
          <w:b/>
          <w:sz w:val="28"/>
          <w:szCs w:val="28"/>
          <w:lang w:val="en-US"/>
        </w:rPr>
        <w:lastRenderedPageBreak/>
        <w:t>Coming into Force</w:t>
      </w:r>
    </w:p>
    <w:p w:rsidR="00F341B5" w:rsidRPr="000A7500" w:rsidRDefault="00F341B5" w:rsidP="00F341B5">
      <w:pPr>
        <w:jc w:val="both"/>
        <w:rPr>
          <w:rFonts w:eastAsia="Times New Roman"/>
          <w:sz w:val="28"/>
          <w:szCs w:val="28"/>
        </w:rPr>
      </w:pPr>
      <w:r w:rsidRPr="00E65E15">
        <w:rPr>
          <w:rFonts w:eastAsia="Times New Roman"/>
          <w:sz w:val="28"/>
          <w:szCs w:val="28"/>
        </w:rPr>
        <w:t>The Act came into force on 23</w:t>
      </w:r>
      <w:r w:rsidRPr="00E65E15">
        <w:rPr>
          <w:rFonts w:eastAsia="Times New Roman"/>
          <w:sz w:val="28"/>
          <w:szCs w:val="28"/>
          <w:vertAlign w:val="superscript"/>
        </w:rPr>
        <w:t>rd</w:t>
      </w:r>
      <w:r w:rsidRPr="00E65E15">
        <w:rPr>
          <w:rFonts w:eastAsia="Times New Roman"/>
          <w:sz w:val="28"/>
          <w:szCs w:val="28"/>
        </w:rPr>
        <w:t xml:space="preserve"> of February, 2018</w:t>
      </w:r>
    </w:p>
    <w:p w:rsidR="00A8128F" w:rsidRDefault="00A8128F" w:rsidP="00A8128F">
      <w:pPr>
        <w:pStyle w:val="ListParagraph"/>
        <w:rPr>
          <w:rFonts w:ascii="Verdana" w:eastAsia="Times New Roman" w:hAnsi="Verdana"/>
          <w:sz w:val="24"/>
          <w:szCs w:val="24"/>
        </w:rPr>
      </w:pPr>
    </w:p>
    <w:p w:rsidR="00A8128F" w:rsidRPr="00546E25" w:rsidRDefault="00A8128F" w:rsidP="00A8128F">
      <w:pPr>
        <w:ind w:left="720"/>
        <w:jc w:val="both"/>
        <w:rPr>
          <w:rFonts w:ascii="Verdana" w:eastAsia="Times New Roman" w:hAnsi="Verdana"/>
          <w:sz w:val="24"/>
          <w:szCs w:val="24"/>
        </w:rPr>
      </w:pPr>
    </w:p>
    <w:p w:rsidR="00546E25" w:rsidRPr="0057033F" w:rsidRDefault="00A8128F" w:rsidP="00546E25">
      <w:pPr>
        <w:pStyle w:val="ListParagraph"/>
        <w:numPr>
          <w:ilvl w:val="0"/>
          <w:numId w:val="13"/>
        </w:numPr>
        <w:jc w:val="both"/>
        <w:rPr>
          <w:rFonts w:ascii="Verdana" w:eastAsia="Times New Roman" w:hAnsi="Verdana"/>
          <w:b/>
          <w:sz w:val="24"/>
          <w:szCs w:val="24"/>
        </w:rPr>
      </w:pPr>
      <w:r w:rsidRPr="0057033F">
        <w:rPr>
          <w:rFonts w:ascii="Verdana" w:eastAsia="Times New Roman" w:hAnsi="Verdana"/>
          <w:b/>
          <w:sz w:val="24"/>
          <w:szCs w:val="24"/>
        </w:rPr>
        <w:t xml:space="preserve"> For Inquiries</w:t>
      </w:r>
      <w:r w:rsidR="0057033F">
        <w:rPr>
          <w:rFonts w:ascii="Verdana" w:eastAsia="Times New Roman" w:hAnsi="Verdana"/>
          <w:b/>
          <w:sz w:val="24"/>
          <w:szCs w:val="24"/>
        </w:rPr>
        <w:t xml:space="preserve"> Contact:</w:t>
      </w:r>
      <w:bookmarkStart w:id="0" w:name="_GoBack"/>
      <w:bookmarkEnd w:id="0"/>
    </w:p>
    <w:p w:rsidR="00546E25" w:rsidRPr="0057033F" w:rsidRDefault="00546E25" w:rsidP="00546E25">
      <w:pPr>
        <w:jc w:val="both"/>
        <w:rPr>
          <w:rFonts w:ascii="Verdana" w:eastAsia="Times New Roman" w:hAnsi="Verdana"/>
          <w:sz w:val="24"/>
          <w:szCs w:val="24"/>
        </w:rPr>
      </w:pPr>
      <w:r w:rsidRPr="0057033F">
        <w:rPr>
          <w:rFonts w:ascii="Verdana" w:eastAsia="Times New Roman" w:hAnsi="Verdana"/>
          <w:sz w:val="24"/>
          <w:szCs w:val="24"/>
        </w:rPr>
        <w:t>R</w:t>
      </w:r>
      <w:r w:rsidR="0057033F" w:rsidRPr="0057033F">
        <w:rPr>
          <w:rFonts w:ascii="Verdana" w:eastAsia="Times New Roman" w:hAnsi="Verdana"/>
          <w:sz w:val="24"/>
          <w:szCs w:val="24"/>
        </w:rPr>
        <w:t xml:space="preserve">egistrar </w:t>
      </w:r>
    </w:p>
    <w:p w:rsidR="005679EC" w:rsidRPr="0057033F" w:rsidRDefault="004C1D4C" w:rsidP="00546E25">
      <w:pPr>
        <w:jc w:val="both"/>
        <w:rPr>
          <w:rFonts w:ascii="Verdana" w:eastAsia="Times New Roman" w:hAnsi="Verdana"/>
          <w:sz w:val="24"/>
          <w:szCs w:val="24"/>
        </w:rPr>
      </w:pPr>
      <w:r w:rsidRPr="0057033F">
        <w:rPr>
          <w:rFonts w:ascii="Verdana" w:eastAsia="Times New Roman" w:hAnsi="Verdana"/>
          <w:sz w:val="24"/>
          <w:szCs w:val="24"/>
        </w:rPr>
        <w:t>Tanzania Shipping Agencies Corporation (TASAC)</w:t>
      </w:r>
    </w:p>
    <w:p w:rsidR="005679EC" w:rsidRPr="0057033F" w:rsidRDefault="005679EC" w:rsidP="00546E25">
      <w:pPr>
        <w:jc w:val="both"/>
        <w:rPr>
          <w:rFonts w:ascii="Verdana" w:eastAsia="Times New Roman" w:hAnsi="Verdana"/>
          <w:sz w:val="24"/>
          <w:szCs w:val="24"/>
        </w:rPr>
      </w:pPr>
      <w:r w:rsidRPr="0057033F">
        <w:rPr>
          <w:rFonts w:ascii="Verdana" w:eastAsia="Times New Roman" w:hAnsi="Verdana"/>
          <w:sz w:val="24"/>
          <w:szCs w:val="24"/>
        </w:rPr>
        <w:t xml:space="preserve">PSSSF Tower Building, 7th &amp; 8th Floors, Plot No. 20/21, Garden Avenue/Ohio Street </w:t>
      </w:r>
    </w:p>
    <w:p w:rsidR="005679EC" w:rsidRPr="0057033F" w:rsidRDefault="005679EC" w:rsidP="00546E25">
      <w:pPr>
        <w:jc w:val="both"/>
        <w:rPr>
          <w:rFonts w:ascii="Verdana" w:eastAsia="Times New Roman" w:hAnsi="Verdana"/>
          <w:sz w:val="24"/>
          <w:szCs w:val="24"/>
        </w:rPr>
      </w:pPr>
      <w:r w:rsidRPr="0057033F">
        <w:rPr>
          <w:rFonts w:ascii="Verdana" w:eastAsia="Times New Roman" w:hAnsi="Verdana"/>
          <w:sz w:val="24"/>
          <w:szCs w:val="24"/>
        </w:rPr>
        <w:t xml:space="preserve">P. O. Box 989, Dar es Salaam </w:t>
      </w:r>
    </w:p>
    <w:p w:rsidR="00546E25" w:rsidRPr="0057033F" w:rsidRDefault="00546E25" w:rsidP="00546E25">
      <w:pPr>
        <w:jc w:val="both"/>
        <w:rPr>
          <w:rFonts w:ascii="Verdana" w:eastAsia="Times New Roman" w:hAnsi="Verdana"/>
          <w:sz w:val="24"/>
          <w:szCs w:val="24"/>
        </w:rPr>
      </w:pPr>
      <w:r w:rsidRPr="0057033F">
        <w:rPr>
          <w:rFonts w:ascii="Verdana" w:eastAsia="Times New Roman" w:hAnsi="Verdana"/>
          <w:sz w:val="24"/>
          <w:szCs w:val="24"/>
        </w:rPr>
        <w:t>P. O. Box 3093</w:t>
      </w:r>
    </w:p>
    <w:p w:rsidR="00546E25" w:rsidRPr="0057033F" w:rsidRDefault="00546E25" w:rsidP="00546E25">
      <w:pPr>
        <w:jc w:val="both"/>
        <w:rPr>
          <w:rFonts w:ascii="Verdana" w:eastAsia="Times New Roman" w:hAnsi="Verdana"/>
          <w:sz w:val="24"/>
          <w:szCs w:val="24"/>
        </w:rPr>
      </w:pPr>
      <w:r w:rsidRPr="0057033F">
        <w:rPr>
          <w:rFonts w:ascii="Verdana" w:eastAsia="Times New Roman" w:hAnsi="Verdana"/>
          <w:sz w:val="24"/>
          <w:szCs w:val="24"/>
        </w:rPr>
        <w:t>Dar es Salaam</w:t>
      </w:r>
    </w:p>
    <w:p w:rsidR="00546E25" w:rsidRPr="0057033F" w:rsidRDefault="00546E25" w:rsidP="00546E25">
      <w:pPr>
        <w:jc w:val="both"/>
        <w:rPr>
          <w:rFonts w:ascii="Verdana" w:eastAsia="Times New Roman" w:hAnsi="Verdana"/>
          <w:sz w:val="24"/>
          <w:szCs w:val="24"/>
        </w:rPr>
      </w:pPr>
      <w:r w:rsidRPr="0057033F">
        <w:rPr>
          <w:rFonts w:ascii="Verdana" w:eastAsia="Times New Roman" w:hAnsi="Verdana"/>
          <w:sz w:val="24"/>
          <w:szCs w:val="24"/>
        </w:rPr>
        <w:t>Tanzania</w:t>
      </w:r>
    </w:p>
    <w:p w:rsidR="005679EC" w:rsidRPr="0057033F" w:rsidRDefault="005679EC" w:rsidP="005679EC">
      <w:pPr>
        <w:jc w:val="both"/>
        <w:rPr>
          <w:rFonts w:ascii="Verdana" w:eastAsia="Times New Roman" w:hAnsi="Verdana"/>
          <w:sz w:val="24"/>
          <w:szCs w:val="24"/>
        </w:rPr>
      </w:pPr>
      <w:r w:rsidRPr="0057033F">
        <w:rPr>
          <w:rFonts w:ascii="Verdana" w:eastAsia="Times New Roman" w:hAnsi="Verdana"/>
          <w:sz w:val="24"/>
          <w:szCs w:val="24"/>
        </w:rPr>
        <w:t>Tel: +255 222 127 314,</w:t>
      </w:r>
    </w:p>
    <w:p w:rsidR="005679EC" w:rsidRPr="0057033F" w:rsidRDefault="005679EC" w:rsidP="005679EC">
      <w:pPr>
        <w:jc w:val="both"/>
        <w:rPr>
          <w:rFonts w:ascii="Verdana" w:eastAsia="Times New Roman" w:hAnsi="Verdana"/>
          <w:sz w:val="24"/>
          <w:szCs w:val="24"/>
        </w:rPr>
      </w:pPr>
      <w:r w:rsidRPr="0057033F">
        <w:rPr>
          <w:rFonts w:ascii="Verdana" w:eastAsia="Times New Roman" w:hAnsi="Verdana"/>
          <w:sz w:val="24"/>
          <w:szCs w:val="24"/>
        </w:rPr>
        <w:t xml:space="preserve">Fax: +255 222 127 313, </w:t>
      </w:r>
    </w:p>
    <w:p w:rsidR="00546E25" w:rsidRPr="00546E25" w:rsidRDefault="00546E25" w:rsidP="00546E25">
      <w:pPr>
        <w:jc w:val="both"/>
        <w:rPr>
          <w:rFonts w:ascii="Verdana" w:eastAsia="Times New Roman" w:hAnsi="Verdana"/>
          <w:sz w:val="24"/>
          <w:szCs w:val="24"/>
          <w:lang w:val="es-ES"/>
        </w:rPr>
      </w:pPr>
    </w:p>
    <w:p w:rsidR="00546E25" w:rsidRPr="00934985" w:rsidRDefault="00546E25" w:rsidP="00546E25">
      <w:pPr>
        <w:jc w:val="both"/>
        <w:rPr>
          <w:rFonts w:ascii="Verdana" w:eastAsia="Times New Roman" w:hAnsi="Verdana"/>
          <w:b/>
          <w:sz w:val="24"/>
          <w:szCs w:val="24"/>
          <w:lang w:val="es-ES"/>
        </w:rPr>
      </w:pPr>
      <w:r w:rsidRPr="00546E25">
        <w:rPr>
          <w:rFonts w:ascii="Verdana" w:eastAsia="Times New Roman" w:hAnsi="Verdana"/>
          <w:sz w:val="24"/>
          <w:szCs w:val="24"/>
          <w:lang w:val="es-ES"/>
        </w:rPr>
        <w:t>Email:</w:t>
      </w:r>
      <w:r w:rsidRPr="00546E25">
        <w:rPr>
          <w:rFonts w:ascii="Verdana" w:eastAsia="Times New Roman" w:hAnsi="Verdana"/>
          <w:sz w:val="24"/>
          <w:szCs w:val="24"/>
          <w:lang w:val="es-ES"/>
        </w:rPr>
        <w:tab/>
      </w:r>
      <w:hyperlink r:id="rId7" w:history="1">
        <w:r w:rsidR="00934985" w:rsidRPr="00934985">
          <w:rPr>
            <w:rStyle w:val="Hyperlink"/>
            <w:rFonts w:ascii="Verdana" w:hAnsi="Verdana" w:cs="Arial"/>
            <w:b/>
            <w:sz w:val="24"/>
            <w:szCs w:val="24"/>
          </w:rPr>
          <w:t>dg@tasac.go.tz</w:t>
        </w:r>
      </w:hyperlink>
      <w:r w:rsidR="00934985" w:rsidRPr="00934985">
        <w:rPr>
          <w:rFonts w:ascii="Verdana" w:hAnsi="Verdana" w:cs="Arial"/>
          <w:b/>
          <w:sz w:val="24"/>
          <w:szCs w:val="24"/>
        </w:rPr>
        <w:t xml:space="preserve">, </w:t>
      </w:r>
      <w:hyperlink r:id="rId8" w:history="1">
        <w:r w:rsidR="00934985" w:rsidRPr="00934985">
          <w:rPr>
            <w:rStyle w:val="Hyperlink"/>
            <w:rFonts w:ascii="Verdana" w:hAnsi="Verdana" w:cs="Arial"/>
            <w:b/>
            <w:sz w:val="24"/>
            <w:szCs w:val="24"/>
          </w:rPr>
          <w:t>info@tasac.go.tz</w:t>
        </w:r>
      </w:hyperlink>
    </w:p>
    <w:p w:rsidR="00546E25" w:rsidRPr="00812389" w:rsidRDefault="00546E25" w:rsidP="00546E25">
      <w:pPr>
        <w:jc w:val="both"/>
        <w:rPr>
          <w:rFonts w:ascii="Bookman Old Style" w:eastAsia="Times New Roman" w:hAnsi="Bookman Old Style"/>
          <w:b/>
          <w:sz w:val="24"/>
          <w:szCs w:val="24"/>
        </w:rPr>
      </w:pPr>
      <w:r w:rsidRPr="00546E25">
        <w:rPr>
          <w:rFonts w:ascii="Verdana" w:eastAsia="Times New Roman" w:hAnsi="Verdana"/>
          <w:b/>
          <w:sz w:val="24"/>
          <w:szCs w:val="24"/>
        </w:rPr>
        <w:t>Website:</w:t>
      </w:r>
      <w:r w:rsidRPr="00546E25">
        <w:rPr>
          <w:rFonts w:ascii="Verdana" w:eastAsia="Times New Roman" w:hAnsi="Verdana"/>
          <w:b/>
          <w:sz w:val="24"/>
          <w:szCs w:val="24"/>
        </w:rPr>
        <w:tab/>
      </w:r>
      <w:hyperlink r:id="rId9" w:history="1">
        <w:r w:rsidR="00934985" w:rsidRPr="00944D2E">
          <w:rPr>
            <w:rStyle w:val="Hyperlink"/>
            <w:rFonts w:ascii="Verdana" w:eastAsia="Times New Roman" w:hAnsi="Verdana"/>
            <w:b/>
            <w:sz w:val="24"/>
            <w:szCs w:val="24"/>
          </w:rPr>
          <w:t>www.tasac.go.tz</w:t>
        </w:r>
      </w:hyperlink>
    </w:p>
    <w:sectPr w:rsidR="00546E25" w:rsidRPr="00812389" w:rsidSect="00224A93">
      <w:headerReference w:type="default" r:id="rId10"/>
      <w:footerReference w:type="default" r:id="rId11"/>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9E" w:rsidRDefault="00617B9E">
      <w:r>
        <w:separator/>
      </w:r>
    </w:p>
  </w:endnote>
  <w:endnote w:type="continuationSeparator" w:id="0">
    <w:p w:rsidR="00617B9E" w:rsidRDefault="0061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85" w:rsidRPr="00030050" w:rsidRDefault="00CB6555" w:rsidP="00934985">
    <w:pPr>
      <w:tabs>
        <w:tab w:val="center" w:pos="4513"/>
        <w:tab w:val="right" w:pos="9026"/>
      </w:tabs>
      <w:jc w:val="center"/>
      <w:rPr>
        <w:rFonts w:ascii="Arial" w:hAnsi="Arial" w:cs="Arial"/>
        <w:sz w:val="18"/>
        <w:szCs w:val="18"/>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column">
                <wp:posOffset>-796925</wp:posOffset>
              </wp:positionH>
              <wp:positionV relativeFrom="paragraph">
                <wp:posOffset>-158115</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5BD4B6"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75pt,-12.4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ow4EP4wAAAA0BAAAPAAAAZHJzL2Rvd25y&#10;ZXYueG1sTI9BT4NAEIXvJv6HzZh4axeotIosTanRpBeD1YPeFhhZIjtL2C1Ff73LSW8z7728+Sbd&#10;TrpjIw62NSQgXAbAkCpTt9QIeHt9XNwCs05SLTtDKOAbLWyzy4tUJrU50wuOR9cwX0I2kQKUc33C&#10;ua0UammXpkfy3qcZtHR+HRpeD/Lsy3XHoyBYcy1b8heU7HGvsPo6nrSA3bp4Hz+K1VOZF4f84WdS&#10;+81zLsT11bS7B+Zwcn9hmPE9OmSeqTQnqi3rBCzCKI591k/RzR2wORJsQi+Vs7SKgWcp//9F9gsA&#10;AP//AwBQSwECLQAUAAYACAAAACEAtoM4kv4AAADhAQAAEwAAAAAAAAAAAAAAAAAAAAAAW0NvbnRl&#10;bnRfVHlwZXNdLnhtbFBLAQItABQABgAIAAAAIQA4/SH/1gAAAJQBAAALAAAAAAAAAAAAAAAAAC8B&#10;AABfcmVscy8ucmVsc1BLAQItABQABgAIAAAAIQAgbw/XLAIAAEQEAAAOAAAAAAAAAAAAAAAAAC4C&#10;AABkcnMvZTJvRG9jLnhtbFBLAQItABQABgAIAAAAIQBow4EP4wAAAA0BAAAPAAAAAAAAAAAAAAAA&#10;AIYEAABkcnMvZG93bnJldi54bWxQSwUGAAAAAAQABADzAAAAlgUAAAAA&#10;" strokecolor="#bb9132" strokeweight="2.25pt"/>
          </w:pict>
        </mc:Fallback>
      </mc:AlternateContent>
    </w:r>
    <w:r w:rsidR="00224A93">
      <w:rPr>
        <w:rFonts w:ascii="Helvetica" w:hAnsi="Helvetica" w:cs="Helvetica"/>
        <w:lang w:val="en-GB"/>
      </w:rPr>
      <w:t xml:space="preserve">       </w:t>
    </w:r>
    <w:bookmarkStart w:id="1" w:name="_Hlk59009612"/>
    <w:r w:rsidR="00934985" w:rsidRPr="00030050">
      <w:rPr>
        <w:rFonts w:ascii="Arial" w:hAnsi="Arial" w:cs="Arial"/>
        <w:sz w:val="18"/>
        <w:szCs w:val="18"/>
      </w:rPr>
      <w:t>PSSSF Tower Building, 7</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&amp; 8</w:t>
    </w:r>
    <w:r w:rsidR="00934985" w:rsidRPr="00030050">
      <w:rPr>
        <w:rFonts w:ascii="Arial" w:hAnsi="Arial" w:cs="Arial"/>
        <w:sz w:val="18"/>
        <w:szCs w:val="18"/>
        <w:vertAlign w:val="superscript"/>
      </w:rPr>
      <w:t>th</w:t>
    </w:r>
    <w:r w:rsidR="00934985" w:rsidRPr="00030050">
      <w:rPr>
        <w:rFonts w:ascii="Arial" w:hAnsi="Arial" w:cs="Arial"/>
        <w:sz w:val="18"/>
        <w:szCs w:val="18"/>
      </w:rPr>
      <w:t xml:space="preserve"> Floors, Plot No. 20/21, Garden Avenue/Ohio Street,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P. O. Box 989, Dar es Salaam - Tanzania, Tel: +255 222 127 314, Fax: +255 222 127 313, </w:t>
    </w:r>
  </w:p>
  <w:p w:rsidR="00934985" w:rsidRPr="00030050" w:rsidRDefault="00934985" w:rsidP="00934985">
    <w:pPr>
      <w:tabs>
        <w:tab w:val="center" w:pos="4513"/>
        <w:tab w:val="right" w:pos="9026"/>
      </w:tabs>
      <w:jc w:val="center"/>
      <w:rPr>
        <w:rFonts w:ascii="Arial" w:hAnsi="Arial" w:cs="Arial"/>
        <w:sz w:val="18"/>
        <w:szCs w:val="18"/>
      </w:rPr>
    </w:pPr>
    <w:r w:rsidRPr="00030050">
      <w:rPr>
        <w:rFonts w:ascii="Arial" w:hAnsi="Arial" w:cs="Arial"/>
        <w:sz w:val="18"/>
        <w:szCs w:val="18"/>
      </w:rPr>
      <w:t xml:space="preserve">Email: </w:t>
    </w:r>
    <w:hyperlink r:id="rId1" w:history="1">
      <w:r w:rsidRPr="00030050">
        <w:rPr>
          <w:rStyle w:val="Hyperlink"/>
          <w:rFonts w:ascii="Arial" w:hAnsi="Arial" w:cs="Arial"/>
          <w:sz w:val="18"/>
          <w:szCs w:val="18"/>
        </w:rPr>
        <w:t>dg@tasac.go.tz</w:t>
      </w:r>
    </w:hyperlink>
    <w:r w:rsidRPr="00030050">
      <w:rPr>
        <w:rFonts w:ascii="Arial" w:hAnsi="Arial" w:cs="Arial"/>
        <w:sz w:val="18"/>
        <w:szCs w:val="18"/>
      </w:rPr>
      <w:t xml:space="preserve">, </w:t>
    </w:r>
    <w:hyperlink r:id="rId2" w:history="1">
      <w:r w:rsidRPr="00030050">
        <w:rPr>
          <w:rStyle w:val="Hyperlink"/>
          <w:rFonts w:ascii="Arial" w:hAnsi="Arial" w:cs="Arial"/>
          <w:sz w:val="18"/>
          <w:szCs w:val="18"/>
        </w:rPr>
        <w:t>info@tasac.go.tz</w:t>
      </w:r>
    </w:hyperlink>
    <w:r w:rsidRPr="00030050">
      <w:rPr>
        <w:rFonts w:ascii="Arial" w:hAnsi="Arial" w:cs="Arial"/>
        <w:sz w:val="18"/>
        <w:szCs w:val="18"/>
        <w:u w:val="single"/>
      </w:rPr>
      <w:t>,</w:t>
    </w:r>
    <w:r w:rsidRPr="00030050">
      <w:rPr>
        <w:rFonts w:ascii="Arial" w:hAnsi="Arial" w:cs="Arial"/>
        <w:sz w:val="18"/>
        <w:szCs w:val="18"/>
      </w:rPr>
      <w:t xml:space="preserve"> Website: </w:t>
    </w:r>
    <w:hyperlink r:id="rId3" w:history="1">
      <w:r w:rsidRPr="00030050">
        <w:rPr>
          <w:rStyle w:val="Hyperlink"/>
          <w:rFonts w:ascii="Arial" w:hAnsi="Arial" w:cs="Arial"/>
          <w:sz w:val="18"/>
          <w:szCs w:val="18"/>
        </w:rPr>
        <w:t>www.tasac.go.tz</w:t>
      </w:r>
    </w:hyperlink>
    <w:bookmarkEnd w:id="1"/>
  </w:p>
  <w:p w:rsidR="00224A93" w:rsidRPr="00965081" w:rsidRDefault="00224A93" w:rsidP="00934985">
    <w:pPr>
      <w:jc w:val="cente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9E" w:rsidRDefault="00617B9E">
      <w:r>
        <w:separator/>
      </w:r>
    </w:p>
  </w:footnote>
  <w:footnote w:type="continuationSeparator" w:id="0">
    <w:p w:rsidR="00617B9E" w:rsidRDefault="0061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MINISTRY OF WORKS</w:t>
                    </w:r>
                    <w:r w:rsidR="00934985">
                      <w:rPr>
                        <w:rFonts w:ascii="Arial" w:hAnsi="Arial" w:cs="Arial"/>
                        <w:sz w:val="21"/>
                        <w:szCs w:val="21"/>
                      </w:rPr>
                      <w:t xml:space="preserve"> AND</w:t>
                    </w:r>
                    <w:r w:rsidRPr="00B9741B">
                      <w:rPr>
                        <w:rFonts w:ascii="Arial" w:hAnsi="Arial" w:cs="Arial"/>
                        <w:sz w:val="21"/>
                        <w:szCs w:val="21"/>
                      </w:rPr>
                      <w:t xml:space="preserve">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7896"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FFF0"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E0BB"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BA8"/>
    <w:multiLevelType w:val="hybridMultilevel"/>
    <w:tmpl w:val="E14EE8C4"/>
    <w:lvl w:ilvl="0" w:tplc="C444152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C2219C"/>
    <w:multiLevelType w:val="multilevel"/>
    <w:tmpl w:val="47A84FE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1E8F0C05"/>
    <w:multiLevelType w:val="hybridMultilevel"/>
    <w:tmpl w:val="7DD26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6C7DF6"/>
    <w:multiLevelType w:val="multilevel"/>
    <w:tmpl w:val="4FC80F7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15:restartNumberingAfterBreak="0">
    <w:nsid w:val="29FE42AB"/>
    <w:multiLevelType w:val="multilevel"/>
    <w:tmpl w:val="D1264BA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364A063C"/>
    <w:multiLevelType w:val="multilevel"/>
    <w:tmpl w:val="A76E9E1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4AED233C"/>
    <w:multiLevelType w:val="multilevel"/>
    <w:tmpl w:val="F5B24E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69750C7C"/>
    <w:multiLevelType w:val="multilevel"/>
    <w:tmpl w:val="6AA4A50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69D02F1B"/>
    <w:multiLevelType w:val="multilevel"/>
    <w:tmpl w:val="D5FA79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CAE2C5C"/>
    <w:multiLevelType w:val="hybridMultilevel"/>
    <w:tmpl w:val="EB1C5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E9493B"/>
    <w:multiLevelType w:val="hybridMultilevel"/>
    <w:tmpl w:val="263085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B0C16"/>
    <w:multiLevelType w:val="multilevel"/>
    <w:tmpl w:val="95EAC9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2"/>
  </w:num>
  <w:num w:numId="2">
    <w:abstractNumId w:val="7"/>
  </w:num>
  <w:num w:numId="3">
    <w:abstractNumId w:val="13"/>
  </w:num>
  <w:num w:numId="4">
    <w:abstractNumId w:val="4"/>
  </w:num>
  <w:num w:numId="5">
    <w:abstractNumId w:val="1"/>
  </w:num>
  <w:num w:numId="6">
    <w:abstractNumId w:val="0"/>
  </w:num>
  <w:num w:numId="7">
    <w:abstractNumId w:val="5"/>
  </w:num>
  <w:num w:numId="8">
    <w:abstractNumId w:val="6"/>
  </w:num>
  <w:num w:numId="9">
    <w:abstractNumId w:val="2"/>
  </w:num>
  <w:num w:numId="10">
    <w:abstractNumId w:val="10"/>
  </w:num>
  <w:num w:numId="11">
    <w:abstractNumId w:val="8"/>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87B21"/>
    <w:rsid w:val="00095753"/>
    <w:rsid w:val="000958BE"/>
    <w:rsid w:val="000A7FE1"/>
    <w:rsid w:val="000C1AD1"/>
    <w:rsid w:val="000C34CC"/>
    <w:rsid w:val="000C4286"/>
    <w:rsid w:val="000C559C"/>
    <w:rsid w:val="000D2F34"/>
    <w:rsid w:val="000E1E71"/>
    <w:rsid w:val="000E3666"/>
    <w:rsid w:val="000E4B64"/>
    <w:rsid w:val="000F2730"/>
    <w:rsid w:val="000F6616"/>
    <w:rsid w:val="00117EA2"/>
    <w:rsid w:val="00121345"/>
    <w:rsid w:val="0012332A"/>
    <w:rsid w:val="0012635B"/>
    <w:rsid w:val="0012670E"/>
    <w:rsid w:val="00133903"/>
    <w:rsid w:val="00134F0E"/>
    <w:rsid w:val="001410C4"/>
    <w:rsid w:val="0014293B"/>
    <w:rsid w:val="00151727"/>
    <w:rsid w:val="00156663"/>
    <w:rsid w:val="00163A6E"/>
    <w:rsid w:val="001662B1"/>
    <w:rsid w:val="00172246"/>
    <w:rsid w:val="00175627"/>
    <w:rsid w:val="00185D8A"/>
    <w:rsid w:val="00192A7D"/>
    <w:rsid w:val="00195912"/>
    <w:rsid w:val="00197315"/>
    <w:rsid w:val="00197C23"/>
    <w:rsid w:val="001A0AA4"/>
    <w:rsid w:val="001B358A"/>
    <w:rsid w:val="001C032C"/>
    <w:rsid w:val="001C1F75"/>
    <w:rsid w:val="001C6259"/>
    <w:rsid w:val="001C6A23"/>
    <w:rsid w:val="001D2FF0"/>
    <w:rsid w:val="001D49AD"/>
    <w:rsid w:val="001D6658"/>
    <w:rsid w:val="001E153F"/>
    <w:rsid w:val="001F6D38"/>
    <w:rsid w:val="00203047"/>
    <w:rsid w:val="00204C30"/>
    <w:rsid w:val="00214CC5"/>
    <w:rsid w:val="00220ADA"/>
    <w:rsid w:val="00223066"/>
    <w:rsid w:val="002236D5"/>
    <w:rsid w:val="00224A93"/>
    <w:rsid w:val="00245D51"/>
    <w:rsid w:val="002471B1"/>
    <w:rsid w:val="00256D75"/>
    <w:rsid w:val="00256E8C"/>
    <w:rsid w:val="002570CB"/>
    <w:rsid w:val="002A7943"/>
    <w:rsid w:val="002A7F0F"/>
    <w:rsid w:val="002C56B2"/>
    <w:rsid w:val="002D566C"/>
    <w:rsid w:val="002E123F"/>
    <w:rsid w:val="002E77FC"/>
    <w:rsid w:val="002F1619"/>
    <w:rsid w:val="002F44D8"/>
    <w:rsid w:val="002F58EC"/>
    <w:rsid w:val="003011AC"/>
    <w:rsid w:val="00305E9A"/>
    <w:rsid w:val="003243E5"/>
    <w:rsid w:val="00327A39"/>
    <w:rsid w:val="003371A4"/>
    <w:rsid w:val="00341DAC"/>
    <w:rsid w:val="00351C66"/>
    <w:rsid w:val="00354B39"/>
    <w:rsid w:val="00360276"/>
    <w:rsid w:val="00360F2E"/>
    <w:rsid w:val="00372C77"/>
    <w:rsid w:val="0037408B"/>
    <w:rsid w:val="00375082"/>
    <w:rsid w:val="00375523"/>
    <w:rsid w:val="00381B18"/>
    <w:rsid w:val="00387443"/>
    <w:rsid w:val="00390874"/>
    <w:rsid w:val="00395500"/>
    <w:rsid w:val="003B5EDF"/>
    <w:rsid w:val="003C186A"/>
    <w:rsid w:val="003D0726"/>
    <w:rsid w:val="003D7F18"/>
    <w:rsid w:val="003E7652"/>
    <w:rsid w:val="00400565"/>
    <w:rsid w:val="0040499B"/>
    <w:rsid w:val="00406228"/>
    <w:rsid w:val="004147BA"/>
    <w:rsid w:val="00420AAE"/>
    <w:rsid w:val="004244CE"/>
    <w:rsid w:val="00425600"/>
    <w:rsid w:val="00436977"/>
    <w:rsid w:val="00436F33"/>
    <w:rsid w:val="00456CFD"/>
    <w:rsid w:val="0048177E"/>
    <w:rsid w:val="00490653"/>
    <w:rsid w:val="004938F6"/>
    <w:rsid w:val="004A61AD"/>
    <w:rsid w:val="004B403F"/>
    <w:rsid w:val="004C172B"/>
    <w:rsid w:val="004C1D4C"/>
    <w:rsid w:val="004C3A82"/>
    <w:rsid w:val="004C3CB4"/>
    <w:rsid w:val="004C63B9"/>
    <w:rsid w:val="004D1E80"/>
    <w:rsid w:val="004D2714"/>
    <w:rsid w:val="004D4F86"/>
    <w:rsid w:val="004D6A34"/>
    <w:rsid w:val="004E6C4F"/>
    <w:rsid w:val="00500F2D"/>
    <w:rsid w:val="005039B1"/>
    <w:rsid w:val="00512569"/>
    <w:rsid w:val="00526332"/>
    <w:rsid w:val="00531042"/>
    <w:rsid w:val="005411C2"/>
    <w:rsid w:val="00543F58"/>
    <w:rsid w:val="00546E25"/>
    <w:rsid w:val="00547140"/>
    <w:rsid w:val="00550481"/>
    <w:rsid w:val="00553B0E"/>
    <w:rsid w:val="00553E70"/>
    <w:rsid w:val="005679EC"/>
    <w:rsid w:val="0057033F"/>
    <w:rsid w:val="00573559"/>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7B9E"/>
    <w:rsid w:val="006206E2"/>
    <w:rsid w:val="0062091F"/>
    <w:rsid w:val="00621F99"/>
    <w:rsid w:val="00623C40"/>
    <w:rsid w:val="006259C0"/>
    <w:rsid w:val="0062714C"/>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4866"/>
    <w:rsid w:val="006B7305"/>
    <w:rsid w:val="006C027E"/>
    <w:rsid w:val="006C1A21"/>
    <w:rsid w:val="006C42B2"/>
    <w:rsid w:val="006D0A89"/>
    <w:rsid w:val="006D56CD"/>
    <w:rsid w:val="006D60AE"/>
    <w:rsid w:val="006D623E"/>
    <w:rsid w:val="0070084B"/>
    <w:rsid w:val="00720B7B"/>
    <w:rsid w:val="007262B9"/>
    <w:rsid w:val="00733908"/>
    <w:rsid w:val="0073433F"/>
    <w:rsid w:val="00735F63"/>
    <w:rsid w:val="00743CCE"/>
    <w:rsid w:val="007446F4"/>
    <w:rsid w:val="00750188"/>
    <w:rsid w:val="007529F5"/>
    <w:rsid w:val="00755C59"/>
    <w:rsid w:val="00761E1F"/>
    <w:rsid w:val="0077035E"/>
    <w:rsid w:val="00772E23"/>
    <w:rsid w:val="0078243E"/>
    <w:rsid w:val="007904D6"/>
    <w:rsid w:val="00791CEC"/>
    <w:rsid w:val="00792C07"/>
    <w:rsid w:val="00793156"/>
    <w:rsid w:val="007A1CFA"/>
    <w:rsid w:val="007A45B8"/>
    <w:rsid w:val="007C5FDE"/>
    <w:rsid w:val="007D0AB7"/>
    <w:rsid w:val="007D1DF6"/>
    <w:rsid w:val="007E3F64"/>
    <w:rsid w:val="007F0D58"/>
    <w:rsid w:val="007F4E3B"/>
    <w:rsid w:val="007F526E"/>
    <w:rsid w:val="00807367"/>
    <w:rsid w:val="00812389"/>
    <w:rsid w:val="00816DB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F7E80"/>
    <w:rsid w:val="00904CF3"/>
    <w:rsid w:val="0090569B"/>
    <w:rsid w:val="009069E9"/>
    <w:rsid w:val="009135C7"/>
    <w:rsid w:val="009157E1"/>
    <w:rsid w:val="00922ABF"/>
    <w:rsid w:val="00934985"/>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E5B"/>
    <w:rsid w:val="009B0B94"/>
    <w:rsid w:val="009B76DD"/>
    <w:rsid w:val="009D2E5A"/>
    <w:rsid w:val="009E08FD"/>
    <w:rsid w:val="009E3FB7"/>
    <w:rsid w:val="00A07E7A"/>
    <w:rsid w:val="00A10D35"/>
    <w:rsid w:val="00A21EB8"/>
    <w:rsid w:val="00A27DF0"/>
    <w:rsid w:val="00A32CCB"/>
    <w:rsid w:val="00A33ABF"/>
    <w:rsid w:val="00A35761"/>
    <w:rsid w:val="00A41CE3"/>
    <w:rsid w:val="00A44985"/>
    <w:rsid w:val="00A5773A"/>
    <w:rsid w:val="00A63C8D"/>
    <w:rsid w:val="00A73BD5"/>
    <w:rsid w:val="00A778A3"/>
    <w:rsid w:val="00A8128F"/>
    <w:rsid w:val="00A856C7"/>
    <w:rsid w:val="00A90F19"/>
    <w:rsid w:val="00A973D4"/>
    <w:rsid w:val="00AA2D91"/>
    <w:rsid w:val="00AA57F3"/>
    <w:rsid w:val="00AB0801"/>
    <w:rsid w:val="00AB224E"/>
    <w:rsid w:val="00AB6BA0"/>
    <w:rsid w:val="00AC1307"/>
    <w:rsid w:val="00AC5348"/>
    <w:rsid w:val="00AC6738"/>
    <w:rsid w:val="00AD05B6"/>
    <w:rsid w:val="00AD0869"/>
    <w:rsid w:val="00AD5876"/>
    <w:rsid w:val="00AD753E"/>
    <w:rsid w:val="00AE278E"/>
    <w:rsid w:val="00B0740C"/>
    <w:rsid w:val="00B1584E"/>
    <w:rsid w:val="00B32404"/>
    <w:rsid w:val="00B341FB"/>
    <w:rsid w:val="00B35B19"/>
    <w:rsid w:val="00B379DE"/>
    <w:rsid w:val="00B37F56"/>
    <w:rsid w:val="00B41026"/>
    <w:rsid w:val="00B42DD4"/>
    <w:rsid w:val="00B6426C"/>
    <w:rsid w:val="00B71701"/>
    <w:rsid w:val="00B72981"/>
    <w:rsid w:val="00B73697"/>
    <w:rsid w:val="00B83B4F"/>
    <w:rsid w:val="00B95A12"/>
    <w:rsid w:val="00B96D90"/>
    <w:rsid w:val="00BB2AE9"/>
    <w:rsid w:val="00BB755B"/>
    <w:rsid w:val="00BC155A"/>
    <w:rsid w:val="00BC17FF"/>
    <w:rsid w:val="00BC4CA6"/>
    <w:rsid w:val="00BC62FB"/>
    <w:rsid w:val="00BC6740"/>
    <w:rsid w:val="00BC7DF1"/>
    <w:rsid w:val="00BE428C"/>
    <w:rsid w:val="00BE4F51"/>
    <w:rsid w:val="00BF024F"/>
    <w:rsid w:val="00BF418F"/>
    <w:rsid w:val="00C12FA4"/>
    <w:rsid w:val="00C25898"/>
    <w:rsid w:val="00C269EB"/>
    <w:rsid w:val="00C27B1A"/>
    <w:rsid w:val="00C3237A"/>
    <w:rsid w:val="00C326E3"/>
    <w:rsid w:val="00C35B2B"/>
    <w:rsid w:val="00C50C5E"/>
    <w:rsid w:val="00C568C6"/>
    <w:rsid w:val="00C64575"/>
    <w:rsid w:val="00C654DC"/>
    <w:rsid w:val="00C80FC0"/>
    <w:rsid w:val="00C81CF2"/>
    <w:rsid w:val="00C9130F"/>
    <w:rsid w:val="00C933F9"/>
    <w:rsid w:val="00C93F3C"/>
    <w:rsid w:val="00C94128"/>
    <w:rsid w:val="00C94327"/>
    <w:rsid w:val="00C94CD2"/>
    <w:rsid w:val="00CA0AEE"/>
    <w:rsid w:val="00CA4A4C"/>
    <w:rsid w:val="00CA5F42"/>
    <w:rsid w:val="00CA673E"/>
    <w:rsid w:val="00CA7059"/>
    <w:rsid w:val="00CB2BB3"/>
    <w:rsid w:val="00CB3EC5"/>
    <w:rsid w:val="00CB6555"/>
    <w:rsid w:val="00CC28BB"/>
    <w:rsid w:val="00CC49F5"/>
    <w:rsid w:val="00CC4DDB"/>
    <w:rsid w:val="00CC57E0"/>
    <w:rsid w:val="00CD1AEB"/>
    <w:rsid w:val="00CF1C68"/>
    <w:rsid w:val="00D0258B"/>
    <w:rsid w:val="00D05085"/>
    <w:rsid w:val="00D07044"/>
    <w:rsid w:val="00D1166F"/>
    <w:rsid w:val="00D2063A"/>
    <w:rsid w:val="00D26F45"/>
    <w:rsid w:val="00D30CF6"/>
    <w:rsid w:val="00D31700"/>
    <w:rsid w:val="00D32285"/>
    <w:rsid w:val="00D3253C"/>
    <w:rsid w:val="00D32AB6"/>
    <w:rsid w:val="00D34EE9"/>
    <w:rsid w:val="00D43FA3"/>
    <w:rsid w:val="00D467F5"/>
    <w:rsid w:val="00D505A1"/>
    <w:rsid w:val="00D50CAC"/>
    <w:rsid w:val="00D51FC9"/>
    <w:rsid w:val="00D55F20"/>
    <w:rsid w:val="00D70C4A"/>
    <w:rsid w:val="00D7558D"/>
    <w:rsid w:val="00D75654"/>
    <w:rsid w:val="00D77DC6"/>
    <w:rsid w:val="00D85063"/>
    <w:rsid w:val="00D86EC5"/>
    <w:rsid w:val="00D97E7E"/>
    <w:rsid w:val="00DA1C02"/>
    <w:rsid w:val="00DA1D02"/>
    <w:rsid w:val="00DB0563"/>
    <w:rsid w:val="00DB7A9F"/>
    <w:rsid w:val="00DC1DA6"/>
    <w:rsid w:val="00DD1D50"/>
    <w:rsid w:val="00DE39EB"/>
    <w:rsid w:val="00DF2FED"/>
    <w:rsid w:val="00E01FA3"/>
    <w:rsid w:val="00E03DDE"/>
    <w:rsid w:val="00E04E07"/>
    <w:rsid w:val="00E04E34"/>
    <w:rsid w:val="00E07DBD"/>
    <w:rsid w:val="00E16B9C"/>
    <w:rsid w:val="00E250C8"/>
    <w:rsid w:val="00E36480"/>
    <w:rsid w:val="00E37C4F"/>
    <w:rsid w:val="00E412C4"/>
    <w:rsid w:val="00E44D86"/>
    <w:rsid w:val="00E455DB"/>
    <w:rsid w:val="00E460EA"/>
    <w:rsid w:val="00E5161B"/>
    <w:rsid w:val="00E55591"/>
    <w:rsid w:val="00E61D22"/>
    <w:rsid w:val="00E72DCE"/>
    <w:rsid w:val="00E779F1"/>
    <w:rsid w:val="00E80792"/>
    <w:rsid w:val="00E846B0"/>
    <w:rsid w:val="00E86F08"/>
    <w:rsid w:val="00E920A7"/>
    <w:rsid w:val="00EA1BF1"/>
    <w:rsid w:val="00EA2ED4"/>
    <w:rsid w:val="00EA6E02"/>
    <w:rsid w:val="00EB3514"/>
    <w:rsid w:val="00EC467B"/>
    <w:rsid w:val="00EE121C"/>
    <w:rsid w:val="00EE4680"/>
    <w:rsid w:val="00F01E81"/>
    <w:rsid w:val="00F04C32"/>
    <w:rsid w:val="00F06E94"/>
    <w:rsid w:val="00F10C5C"/>
    <w:rsid w:val="00F1632B"/>
    <w:rsid w:val="00F31194"/>
    <w:rsid w:val="00F341B5"/>
    <w:rsid w:val="00F4063C"/>
    <w:rsid w:val="00F4158C"/>
    <w:rsid w:val="00F41E2A"/>
    <w:rsid w:val="00F437CA"/>
    <w:rsid w:val="00F5159D"/>
    <w:rsid w:val="00F56D97"/>
    <w:rsid w:val="00F61E9E"/>
    <w:rsid w:val="00F76E35"/>
    <w:rsid w:val="00F81CA7"/>
    <w:rsid w:val="00F84C8B"/>
    <w:rsid w:val="00F85355"/>
    <w:rsid w:val="00F903DD"/>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8D56"/>
  <w15:docId w15:val="{264FC502-6D23-4E76-BBF0-818EB98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D32285"/>
    <w:pPr>
      <w:keepNext/>
      <w:pBdr>
        <w:top w:val="single" w:sz="4" w:space="1" w:color="auto"/>
        <w:bottom w:val="single" w:sz="4" w:space="1" w:color="auto"/>
      </w:pBdr>
      <w:jc w:val="center"/>
      <w:outlineLvl w:val="2"/>
    </w:pPr>
    <w:rPr>
      <w:rFonts w:ascii="Verdana" w:eastAsia="Times New Roman" w:hAnsi="Verdan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D32285"/>
    <w:rPr>
      <w:rFonts w:ascii="Verdana" w:eastAsia="Times New Roman" w:hAnsi="Verdana"/>
      <w:b/>
      <w:sz w:val="26"/>
      <w:szCs w:val="26"/>
    </w:rPr>
  </w:style>
  <w:style w:type="character" w:styleId="UnresolvedMention">
    <w:name w:val="Unresolved Mention"/>
    <w:basedOn w:val="DefaultParagraphFont"/>
    <w:uiPriority w:val="99"/>
    <w:semiHidden/>
    <w:unhideWhenUsed/>
    <w:rsid w:val="0093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1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sac.go.t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tasac.go.t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sac.go.t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asac.go.tz" TargetMode="External"/><Relationship Id="rId2" Type="http://schemas.openxmlformats.org/officeDocument/2006/relationships/hyperlink" Target="mailto:info@tasac.go.tz" TargetMode="External"/><Relationship Id="rId1" Type="http://schemas.openxmlformats.org/officeDocument/2006/relationships/hyperlink" Target="mailto:dg@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3439</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MRCC</dc:creator>
  <cp:lastModifiedBy>Ally Diwani</cp:lastModifiedBy>
  <cp:revision>4</cp:revision>
  <cp:lastPrinted>2020-03-24T08:24:00Z</cp:lastPrinted>
  <dcterms:created xsi:type="dcterms:W3CDTF">2022-06-30T06:39:00Z</dcterms:created>
  <dcterms:modified xsi:type="dcterms:W3CDTF">2022-06-30T10:39:00Z</dcterms:modified>
</cp:coreProperties>
</file>